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АЗЭ-ДО/25-2697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г.о. Домодедово,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00300060123011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17.06.2025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28.01.2026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30.01.2026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АЗЭ-ДО/25-2697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г.о. Домодедово,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28.01.2026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29.01.2026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30.01.2026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